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422D58" w:rsidP="00704F41">
      <w:pPr>
        <w:jc w:val="both"/>
      </w:pPr>
      <w:r w:rsidRPr="00422D58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422D58" w:rsidP="00704F41">
      <w:pPr>
        <w:jc w:val="both"/>
      </w:pPr>
      <w:r w:rsidRPr="00422D58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422D58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422D58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422D58" w:rsidP="00704F41">
      <w:pPr>
        <w:jc w:val="both"/>
      </w:pPr>
      <w:r w:rsidRPr="00422D58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C041CF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WAP Program Checklist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C041CF" w:rsidRDefault="00C041CF" w:rsidP="00C041CF">
      <w:pPr>
        <w:jc w:val="both"/>
        <w:rPr>
          <w:rFonts w:ascii="Calibri" w:hAnsi="Calibri"/>
          <w:b/>
          <w:sz w:val="28"/>
          <w:szCs w:val="28"/>
        </w:rPr>
      </w:pPr>
    </w:p>
    <w:p w:rsidR="00C041CF" w:rsidRPr="007F2E6D" w:rsidRDefault="00C041CF" w:rsidP="00C041CF">
      <w:pPr>
        <w:jc w:val="both"/>
        <w:rPr>
          <w:rFonts w:ascii="Calibri" w:hAnsi="Calibri"/>
          <w:b/>
          <w:sz w:val="28"/>
          <w:szCs w:val="28"/>
        </w:rPr>
      </w:pPr>
      <w:r w:rsidRPr="002D1800">
        <w:rPr>
          <w:rFonts w:ascii="Calibri" w:hAnsi="Calibri"/>
          <w:b/>
          <w:sz w:val="28"/>
          <w:szCs w:val="28"/>
        </w:rPr>
        <w:t>1.</w:t>
      </w:r>
      <w:r w:rsidRPr="002D1800">
        <w:rPr>
          <w:rFonts w:ascii="Calibri" w:hAnsi="Calibri"/>
          <w:b/>
          <w:sz w:val="28"/>
          <w:szCs w:val="28"/>
        </w:rPr>
        <w:tab/>
        <w:t>Units of work</w:t>
      </w:r>
      <w:r>
        <w:rPr>
          <w:rFonts w:ascii="Calibri" w:hAnsi="Calibri"/>
          <w:b/>
          <w:sz w:val="28"/>
          <w:szCs w:val="28"/>
        </w:rPr>
        <w:t xml:space="preserve"> </w:t>
      </w:r>
      <w:r w:rsidRPr="007F2E6D">
        <w:rPr>
          <w:rFonts w:ascii="Calibri" w:hAnsi="Calibri"/>
          <w:b/>
          <w:i/>
          <w:sz w:val="28"/>
          <w:szCs w:val="28"/>
        </w:rPr>
        <w:t>(sample included)</w:t>
      </w:r>
    </w:p>
    <w:p w:rsidR="00C041CF" w:rsidRPr="002D1800" w:rsidRDefault="00C041CF" w:rsidP="00C041CF">
      <w:pPr>
        <w:jc w:val="both"/>
        <w:rPr>
          <w:rFonts w:ascii="Calibri" w:hAnsi="Calibri"/>
        </w:rPr>
      </w:pPr>
      <w:r w:rsidRPr="002D1800">
        <w:rPr>
          <w:rFonts w:ascii="Calibri" w:hAnsi="Calibri"/>
        </w:rPr>
        <w:t>Each unit of work should include:</w:t>
      </w:r>
    </w:p>
    <w:p w:rsidR="00C041CF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Outline of the </w:t>
      </w:r>
      <w:r w:rsidRPr="00CA7EF9">
        <w:rPr>
          <w:rFonts w:ascii="Calibri" w:hAnsi="Calibri"/>
          <w:b/>
        </w:rPr>
        <w:t>scope</w:t>
      </w:r>
      <w:r>
        <w:rPr>
          <w:rFonts w:ascii="Calibri" w:hAnsi="Calibri"/>
        </w:rPr>
        <w:t xml:space="preserve"> of the unit of work </w:t>
      </w:r>
      <w:proofErr w:type="spellStart"/>
      <w:r>
        <w:rPr>
          <w:rFonts w:ascii="Calibri" w:hAnsi="Calibri"/>
        </w:rPr>
        <w:t>eg</w:t>
      </w:r>
      <w:proofErr w:type="spellEnd"/>
      <w:r>
        <w:rPr>
          <w:rFonts w:ascii="Calibri" w:hAnsi="Calibri"/>
        </w:rPr>
        <w:t>. mind map, or week by week dot points (sample included)</w:t>
      </w:r>
    </w:p>
    <w:p w:rsidR="00C041CF" w:rsidRPr="002D1800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estimated </w:t>
      </w:r>
      <w:r w:rsidRPr="002D1800">
        <w:rPr>
          <w:rFonts w:ascii="Calibri" w:hAnsi="Calibri"/>
          <w:b/>
        </w:rPr>
        <w:t>length</w:t>
      </w:r>
      <w:r w:rsidRPr="002D1800">
        <w:rPr>
          <w:rFonts w:ascii="Calibri" w:hAnsi="Calibri"/>
        </w:rPr>
        <w:t xml:space="preserve"> of the unit</w:t>
      </w:r>
      <w:r>
        <w:rPr>
          <w:rFonts w:ascii="Calibri" w:hAnsi="Calibri"/>
        </w:rPr>
        <w:t xml:space="preserve"> (as well as number of lessons)</w:t>
      </w:r>
    </w:p>
    <w:p w:rsidR="00C041CF" w:rsidRPr="00CA7EF9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 w:rsidRPr="002D1800">
        <w:rPr>
          <w:rFonts w:ascii="Calibri" w:hAnsi="Calibri"/>
          <w:b/>
        </w:rPr>
        <w:t>outcomes</w:t>
      </w:r>
      <w:r w:rsidRPr="002D1800">
        <w:rPr>
          <w:rFonts w:ascii="Calibri" w:hAnsi="Calibri"/>
        </w:rPr>
        <w:t xml:space="preserve"> relevant to the unit</w:t>
      </w:r>
      <w:r>
        <w:rPr>
          <w:rFonts w:ascii="Calibri" w:hAnsi="Calibri"/>
        </w:rPr>
        <w:t xml:space="preserve"> </w:t>
      </w:r>
    </w:p>
    <w:p w:rsidR="00C041CF" w:rsidRPr="002D1800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teaching and learning </w:t>
      </w:r>
      <w:r w:rsidRPr="002D1800">
        <w:rPr>
          <w:rFonts w:ascii="Calibri" w:hAnsi="Calibri"/>
          <w:b/>
        </w:rPr>
        <w:t>strategies</w:t>
      </w:r>
      <w:r>
        <w:rPr>
          <w:rFonts w:ascii="Calibri" w:hAnsi="Calibri"/>
          <w:b/>
        </w:rPr>
        <w:t xml:space="preserve"> </w:t>
      </w:r>
      <w:r w:rsidRPr="00CA7EF9">
        <w:rPr>
          <w:rFonts w:ascii="Calibri" w:hAnsi="Calibri"/>
        </w:rPr>
        <w:t>elaborated for each of the sequence dimensions/elements</w:t>
      </w:r>
    </w:p>
    <w:p w:rsidR="00C041CF" w:rsidRPr="002D1800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list of </w:t>
      </w:r>
      <w:r w:rsidRPr="002D1800">
        <w:rPr>
          <w:rFonts w:ascii="Calibri" w:hAnsi="Calibri"/>
          <w:b/>
        </w:rPr>
        <w:t>resources</w:t>
      </w:r>
    </w:p>
    <w:p w:rsidR="00C041CF" w:rsidRPr="002D1800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Indication of how </w:t>
      </w:r>
      <w:r w:rsidRPr="002D1800">
        <w:rPr>
          <w:rFonts w:ascii="Calibri" w:hAnsi="Calibri"/>
          <w:b/>
        </w:rPr>
        <w:t xml:space="preserve">special needs </w:t>
      </w:r>
      <w:r>
        <w:rPr>
          <w:rFonts w:ascii="Calibri" w:hAnsi="Calibri"/>
        </w:rPr>
        <w:t>will be addressed</w:t>
      </w:r>
      <w:r w:rsidRPr="002D1800">
        <w:rPr>
          <w:rFonts w:ascii="Calibri" w:hAnsi="Calibri"/>
        </w:rPr>
        <w:t xml:space="preserve"> (Life Skills, ESL, G&amp;T,</w:t>
      </w:r>
      <w:r>
        <w:rPr>
          <w:rFonts w:ascii="Calibri" w:hAnsi="Calibri"/>
        </w:rPr>
        <w:t xml:space="preserve"> intellectual delay</w:t>
      </w:r>
      <w:r w:rsidRPr="002D1800">
        <w:rPr>
          <w:rFonts w:ascii="Calibri" w:hAnsi="Calibri"/>
        </w:rPr>
        <w:t xml:space="preserve"> etc)</w:t>
      </w:r>
    </w:p>
    <w:p w:rsidR="00C041CF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 w:rsidRPr="002D1800">
        <w:rPr>
          <w:rFonts w:ascii="Calibri" w:hAnsi="Calibri"/>
          <w:b/>
        </w:rPr>
        <w:t>registration</w:t>
      </w:r>
      <w:r w:rsidRPr="002D1800">
        <w:rPr>
          <w:rFonts w:ascii="Calibri" w:hAnsi="Calibri"/>
        </w:rPr>
        <w:t xml:space="preserve"> (signed and dated)</w:t>
      </w:r>
    </w:p>
    <w:p w:rsidR="00C041CF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key questions </w:t>
      </w:r>
      <w:r>
        <w:rPr>
          <w:rFonts w:ascii="Calibri" w:hAnsi="Calibri"/>
        </w:rPr>
        <w:t>related to each of the dimensions/elements of your sequence</w:t>
      </w:r>
    </w:p>
    <w:p w:rsidR="00C041CF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  <w:b/>
        </w:rPr>
        <w:t>assessment tasks/formative evaluation</w:t>
      </w:r>
    </w:p>
    <w:p w:rsidR="00C041CF" w:rsidRDefault="00C041CF" w:rsidP="00C041CF">
      <w:pPr>
        <w:numPr>
          <w:ilvl w:val="0"/>
          <w:numId w:val="7"/>
        </w:numPr>
        <w:jc w:val="both"/>
        <w:rPr>
          <w:rFonts w:ascii="Calibri" w:hAnsi="Calibri"/>
        </w:rPr>
      </w:pPr>
      <w:proofErr w:type="spellStart"/>
      <w:r w:rsidRPr="00CA7EF9">
        <w:rPr>
          <w:rFonts w:ascii="Calibri" w:hAnsi="Calibri"/>
          <w:b/>
        </w:rPr>
        <w:t>metalanguage</w:t>
      </w:r>
      <w:proofErr w:type="spellEnd"/>
      <w:r>
        <w:rPr>
          <w:rFonts w:ascii="Calibri" w:hAnsi="Calibri"/>
        </w:rPr>
        <w:t xml:space="preserve"> and </w:t>
      </w:r>
      <w:r w:rsidRPr="00CA7EF9">
        <w:rPr>
          <w:rFonts w:ascii="Calibri" w:hAnsi="Calibri"/>
          <w:b/>
        </w:rPr>
        <w:t>vocabulary</w:t>
      </w:r>
    </w:p>
    <w:p w:rsidR="00C041CF" w:rsidRPr="002D1800" w:rsidRDefault="00C041CF" w:rsidP="00C041CF">
      <w:pPr>
        <w:jc w:val="both"/>
        <w:rPr>
          <w:rFonts w:ascii="Calibri" w:hAnsi="Calibri"/>
        </w:rPr>
      </w:pPr>
      <w:r w:rsidRPr="002D1800">
        <w:rPr>
          <w:rFonts w:ascii="Calibri" w:hAnsi="Calibri"/>
        </w:rPr>
        <w:t>Teachers are encouraged to make handwritten notes on their programs</w:t>
      </w:r>
      <w:r>
        <w:rPr>
          <w:rFonts w:ascii="Calibri" w:hAnsi="Calibri"/>
        </w:rPr>
        <w:t>, particularly in the registration column and the formative evaluation column.</w:t>
      </w:r>
    </w:p>
    <w:p w:rsidR="00C041CF" w:rsidRPr="008E2171" w:rsidRDefault="00C041CF" w:rsidP="00C041CF">
      <w:pPr>
        <w:jc w:val="both"/>
        <w:rPr>
          <w:rFonts w:ascii="Calibri" w:hAnsi="Calibri"/>
          <w:sz w:val="16"/>
          <w:szCs w:val="16"/>
        </w:rPr>
      </w:pPr>
    </w:p>
    <w:p w:rsidR="00C041CF" w:rsidRPr="007F2E6D" w:rsidRDefault="00C041CF" w:rsidP="00C041CF">
      <w:pPr>
        <w:jc w:val="both"/>
        <w:rPr>
          <w:rFonts w:ascii="Calibri" w:hAnsi="Calibri"/>
          <w:b/>
          <w:sz w:val="28"/>
          <w:szCs w:val="28"/>
        </w:rPr>
      </w:pPr>
      <w:r w:rsidRPr="002D1800">
        <w:rPr>
          <w:rFonts w:ascii="Calibri" w:hAnsi="Calibri"/>
          <w:b/>
          <w:sz w:val="28"/>
          <w:szCs w:val="28"/>
        </w:rPr>
        <w:t>2.</w:t>
      </w:r>
      <w:r w:rsidRPr="002D1800">
        <w:rPr>
          <w:rFonts w:ascii="Calibri" w:hAnsi="Calibri"/>
          <w:b/>
          <w:sz w:val="28"/>
          <w:szCs w:val="28"/>
        </w:rPr>
        <w:tab/>
        <w:t>Scope and sequence</w:t>
      </w:r>
      <w:r>
        <w:rPr>
          <w:rFonts w:ascii="Calibri" w:hAnsi="Calibri"/>
          <w:b/>
          <w:sz w:val="28"/>
          <w:szCs w:val="28"/>
        </w:rPr>
        <w:t xml:space="preserve"> </w:t>
      </w:r>
      <w:r w:rsidRPr="007F2E6D">
        <w:rPr>
          <w:rFonts w:ascii="Calibri" w:hAnsi="Calibri"/>
          <w:b/>
          <w:i/>
          <w:sz w:val="28"/>
          <w:szCs w:val="28"/>
        </w:rPr>
        <w:t>(sample included)</w:t>
      </w:r>
    </w:p>
    <w:p w:rsidR="00C041CF" w:rsidRDefault="00C041CF" w:rsidP="00C041CF">
      <w:p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This is an annual program planner that shows </w:t>
      </w:r>
    </w:p>
    <w:p w:rsidR="00C041CF" w:rsidRDefault="00C041CF" w:rsidP="00C041CF">
      <w:pPr>
        <w:numPr>
          <w:ilvl w:val="0"/>
          <w:numId w:val="8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the </w:t>
      </w:r>
      <w:r w:rsidRPr="000D17AE">
        <w:rPr>
          <w:rFonts w:ascii="Calibri" w:hAnsi="Calibri"/>
          <w:b/>
        </w:rPr>
        <w:t>order</w:t>
      </w:r>
      <w:r w:rsidRPr="002D1800">
        <w:rPr>
          <w:rFonts w:ascii="Calibri" w:hAnsi="Calibri"/>
        </w:rPr>
        <w:t xml:space="preserve"> in which each unit of work is being taught</w:t>
      </w:r>
    </w:p>
    <w:p w:rsidR="00C041CF" w:rsidRDefault="00C041CF" w:rsidP="00C041CF">
      <w:pPr>
        <w:numPr>
          <w:ilvl w:val="0"/>
          <w:numId w:val="8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the </w:t>
      </w:r>
      <w:r w:rsidRPr="000D17AE">
        <w:rPr>
          <w:rFonts w:ascii="Calibri" w:hAnsi="Calibri"/>
          <w:b/>
        </w:rPr>
        <w:t>duration</w:t>
      </w:r>
      <w:r w:rsidRPr="002D1800">
        <w:rPr>
          <w:rFonts w:ascii="Calibri" w:hAnsi="Calibri"/>
        </w:rPr>
        <w:t xml:space="preserve"> of each unit</w:t>
      </w:r>
    </w:p>
    <w:p w:rsidR="00C041CF" w:rsidRPr="002D1800" w:rsidRDefault="00C041CF" w:rsidP="00C041CF">
      <w:pPr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Pr="000D17AE">
        <w:rPr>
          <w:rFonts w:ascii="Calibri" w:hAnsi="Calibri"/>
          <w:b/>
        </w:rPr>
        <w:t>assessment task schedule</w:t>
      </w:r>
    </w:p>
    <w:p w:rsidR="00C041CF" w:rsidRPr="008E2171" w:rsidRDefault="00C041CF" w:rsidP="00C041CF">
      <w:pPr>
        <w:jc w:val="both"/>
        <w:rPr>
          <w:rFonts w:ascii="Calibri" w:hAnsi="Calibri"/>
          <w:sz w:val="16"/>
          <w:szCs w:val="16"/>
        </w:rPr>
      </w:pPr>
    </w:p>
    <w:p w:rsidR="00C041CF" w:rsidRPr="007F2E6D" w:rsidRDefault="00C041CF" w:rsidP="00C041CF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3</w:t>
      </w:r>
      <w:r w:rsidRPr="002D1800">
        <w:rPr>
          <w:rFonts w:ascii="Calibri" w:hAnsi="Calibri"/>
          <w:b/>
          <w:sz w:val="28"/>
          <w:szCs w:val="28"/>
        </w:rPr>
        <w:t>.</w:t>
      </w:r>
      <w:r w:rsidRPr="002D1800">
        <w:rPr>
          <w:rFonts w:ascii="Calibri" w:hAnsi="Calibri"/>
          <w:b/>
          <w:sz w:val="28"/>
          <w:szCs w:val="28"/>
        </w:rPr>
        <w:tab/>
        <w:t>Assessment tasks</w:t>
      </w:r>
    </w:p>
    <w:p w:rsidR="00C041CF" w:rsidRDefault="00C041CF" w:rsidP="00C041CF">
      <w:pPr>
        <w:jc w:val="both"/>
        <w:rPr>
          <w:rFonts w:ascii="Calibri" w:hAnsi="Calibri"/>
        </w:rPr>
      </w:pPr>
      <w:r>
        <w:rPr>
          <w:rFonts w:ascii="Calibri" w:hAnsi="Calibri"/>
        </w:rPr>
        <w:t>Each assessment task must</w:t>
      </w:r>
    </w:p>
    <w:p w:rsidR="00C041CF" w:rsidRDefault="00C041CF" w:rsidP="00C041CF">
      <w:pPr>
        <w:numPr>
          <w:ilvl w:val="0"/>
          <w:numId w:val="9"/>
        </w:num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list </w:t>
      </w:r>
      <w:r>
        <w:rPr>
          <w:rFonts w:ascii="Calibri" w:hAnsi="Calibri"/>
        </w:rPr>
        <w:t xml:space="preserve">the </w:t>
      </w:r>
      <w:r w:rsidRPr="000D17AE">
        <w:rPr>
          <w:rFonts w:ascii="Calibri" w:hAnsi="Calibri"/>
          <w:b/>
        </w:rPr>
        <w:t>outcomes</w:t>
      </w:r>
      <w:r>
        <w:rPr>
          <w:rFonts w:ascii="Calibri" w:hAnsi="Calibri"/>
        </w:rPr>
        <w:t xml:space="preserve"> to be assessed</w:t>
      </w:r>
    </w:p>
    <w:p w:rsidR="00C041CF" w:rsidRDefault="00C041CF" w:rsidP="00C041CF">
      <w:pPr>
        <w:numPr>
          <w:ilvl w:val="0"/>
          <w:numId w:val="9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contain </w:t>
      </w:r>
      <w:r w:rsidRPr="000D17AE">
        <w:rPr>
          <w:rFonts w:ascii="Calibri" w:hAnsi="Calibri"/>
          <w:b/>
        </w:rPr>
        <w:t>marking criteria</w:t>
      </w:r>
      <w:r w:rsidRPr="002D180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including a </w:t>
      </w:r>
      <w:r w:rsidRPr="000D17AE">
        <w:rPr>
          <w:rFonts w:ascii="Calibri" w:hAnsi="Calibri"/>
          <w:b/>
        </w:rPr>
        <w:t>rubric</w:t>
      </w:r>
    </w:p>
    <w:p w:rsidR="00C041CF" w:rsidRPr="002D1800" w:rsidRDefault="00C041CF" w:rsidP="00C041CF">
      <w:pPr>
        <w:jc w:val="both"/>
        <w:rPr>
          <w:rFonts w:ascii="Calibri" w:hAnsi="Calibri"/>
        </w:rPr>
      </w:pPr>
      <w:r>
        <w:rPr>
          <w:rFonts w:ascii="Calibri" w:hAnsi="Calibri"/>
        </w:rPr>
        <w:t>Teachers must e</w:t>
      </w:r>
      <w:r w:rsidRPr="002D1800">
        <w:rPr>
          <w:rFonts w:ascii="Calibri" w:hAnsi="Calibri"/>
        </w:rPr>
        <w:t>nsure that all outcomes have been assessed over the entire stage.</w:t>
      </w:r>
    </w:p>
    <w:p w:rsidR="00C041CF" w:rsidRPr="008E2171" w:rsidRDefault="00C041CF" w:rsidP="00C041CF">
      <w:pPr>
        <w:jc w:val="both"/>
        <w:rPr>
          <w:rFonts w:ascii="Calibri" w:hAnsi="Calibri"/>
          <w:sz w:val="16"/>
          <w:szCs w:val="16"/>
        </w:rPr>
      </w:pPr>
    </w:p>
    <w:p w:rsidR="00C041CF" w:rsidRPr="007F2E6D" w:rsidRDefault="00C041CF" w:rsidP="00C041CF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4</w:t>
      </w:r>
      <w:r w:rsidRPr="002D1800">
        <w:rPr>
          <w:rFonts w:ascii="Calibri" w:hAnsi="Calibri"/>
          <w:b/>
          <w:sz w:val="28"/>
          <w:szCs w:val="28"/>
        </w:rPr>
        <w:t>.</w:t>
      </w:r>
      <w:r w:rsidRPr="002D1800">
        <w:rPr>
          <w:rFonts w:ascii="Calibri" w:hAnsi="Calibri"/>
          <w:b/>
          <w:sz w:val="28"/>
          <w:szCs w:val="28"/>
        </w:rPr>
        <w:tab/>
        <w:t>Student results</w:t>
      </w:r>
    </w:p>
    <w:p w:rsidR="00C041CF" w:rsidRPr="007F2E6D" w:rsidRDefault="00C041CF" w:rsidP="00C041CF">
      <w:pPr>
        <w:jc w:val="both"/>
        <w:rPr>
          <w:rFonts w:ascii="Calibri" w:hAnsi="Calibri"/>
          <w:i/>
        </w:rPr>
      </w:pPr>
      <w:r w:rsidRPr="002D1800">
        <w:rPr>
          <w:rFonts w:ascii="Calibri" w:hAnsi="Calibri"/>
        </w:rPr>
        <w:t>Include student results of all assessment tasks</w:t>
      </w:r>
      <w:r>
        <w:rPr>
          <w:rFonts w:ascii="Calibri" w:hAnsi="Calibri"/>
        </w:rPr>
        <w:t xml:space="preserve"> in an </w:t>
      </w:r>
      <w:r w:rsidRPr="00FD3828">
        <w:rPr>
          <w:rFonts w:ascii="Calibri" w:hAnsi="Calibri"/>
          <w:b/>
        </w:rPr>
        <w:t>assessment register</w:t>
      </w:r>
      <w:r w:rsidRPr="002D1800">
        <w:rPr>
          <w:rFonts w:ascii="Calibri" w:hAnsi="Calibri"/>
        </w:rPr>
        <w:t xml:space="preserve"> </w:t>
      </w:r>
      <w:r w:rsidRPr="007F2E6D">
        <w:rPr>
          <w:rFonts w:ascii="Calibri" w:hAnsi="Calibri"/>
          <w:i/>
        </w:rPr>
        <w:t>(sample included).</w:t>
      </w:r>
    </w:p>
    <w:p w:rsidR="00C041CF" w:rsidRPr="008E2171" w:rsidRDefault="00C041CF" w:rsidP="00C041CF">
      <w:pPr>
        <w:jc w:val="both"/>
        <w:rPr>
          <w:rFonts w:ascii="Calibri" w:hAnsi="Calibri"/>
          <w:sz w:val="16"/>
          <w:szCs w:val="16"/>
        </w:rPr>
      </w:pPr>
    </w:p>
    <w:p w:rsidR="00C041CF" w:rsidRPr="007F2E6D" w:rsidRDefault="00C041CF" w:rsidP="00C041CF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5</w:t>
      </w:r>
      <w:r w:rsidRPr="002D1800">
        <w:rPr>
          <w:rFonts w:ascii="Calibri" w:hAnsi="Calibri"/>
          <w:b/>
          <w:sz w:val="28"/>
          <w:szCs w:val="28"/>
        </w:rPr>
        <w:t>.</w:t>
      </w:r>
      <w:r w:rsidRPr="002D1800">
        <w:rPr>
          <w:rFonts w:ascii="Calibri" w:hAnsi="Calibri"/>
          <w:b/>
          <w:sz w:val="28"/>
          <w:szCs w:val="28"/>
        </w:rPr>
        <w:tab/>
        <w:t>Unit evaluation</w:t>
      </w:r>
    </w:p>
    <w:p w:rsidR="00C041CF" w:rsidRPr="002D1800" w:rsidRDefault="00C041CF" w:rsidP="00C041CF">
      <w:pPr>
        <w:jc w:val="both"/>
        <w:rPr>
          <w:rFonts w:ascii="Calibri" w:hAnsi="Calibri"/>
        </w:rPr>
      </w:pPr>
      <w:r w:rsidRPr="002D1800">
        <w:rPr>
          <w:rFonts w:ascii="Calibri" w:hAnsi="Calibri"/>
        </w:rPr>
        <w:t xml:space="preserve">Complete </w:t>
      </w:r>
      <w:r>
        <w:rPr>
          <w:rFonts w:ascii="Calibri" w:hAnsi="Calibri"/>
        </w:rPr>
        <w:t xml:space="preserve">a formative and summative </w:t>
      </w:r>
      <w:r w:rsidRPr="002D1800">
        <w:rPr>
          <w:rFonts w:ascii="Calibri" w:hAnsi="Calibri"/>
        </w:rPr>
        <w:t>evaluat</w:t>
      </w:r>
      <w:r>
        <w:rPr>
          <w:rFonts w:ascii="Calibri" w:hAnsi="Calibri"/>
        </w:rPr>
        <w:t xml:space="preserve">ion of the unit.  One </w:t>
      </w:r>
      <w:r w:rsidRPr="002D1800">
        <w:rPr>
          <w:rFonts w:ascii="Calibri" w:hAnsi="Calibri"/>
        </w:rPr>
        <w:t>sam</w:t>
      </w:r>
      <w:r>
        <w:rPr>
          <w:rFonts w:ascii="Calibri" w:hAnsi="Calibri"/>
        </w:rPr>
        <w:t>ple summative form</w:t>
      </w:r>
      <w:r w:rsidRPr="002D180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is </w:t>
      </w:r>
      <w:r w:rsidRPr="002D1800">
        <w:rPr>
          <w:rFonts w:ascii="Calibri" w:hAnsi="Calibri"/>
        </w:rPr>
        <w:t>attached.</w:t>
      </w:r>
      <w:r>
        <w:rPr>
          <w:rFonts w:ascii="Calibri" w:hAnsi="Calibri"/>
        </w:rPr>
        <w:t xml:space="preserve"> Formative evaluation should be handwritten in formative evaluation column of the unit.</w:t>
      </w:r>
    </w:p>
    <w:p w:rsidR="00C041CF" w:rsidRPr="002D1800" w:rsidRDefault="00C041CF" w:rsidP="00C041CF">
      <w:pPr>
        <w:jc w:val="both"/>
        <w:rPr>
          <w:rFonts w:ascii="Calibri" w:hAnsi="Calibri"/>
          <w:b/>
        </w:rPr>
      </w:pPr>
    </w:p>
    <w:p w:rsidR="00C041CF" w:rsidRPr="007F2E6D" w:rsidRDefault="00C041CF" w:rsidP="00C04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Calibri" w:hAnsi="Calibri"/>
          <w:sz w:val="20"/>
        </w:rPr>
      </w:pPr>
      <w:r>
        <w:rPr>
          <w:rFonts w:ascii="Calibri" w:hAnsi="Calibri"/>
          <w:b/>
          <w:sz w:val="28"/>
          <w:szCs w:val="36"/>
        </w:rPr>
        <w:t xml:space="preserve">Copies of </w:t>
      </w:r>
      <w:r w:rsidRPr="007F2E6D">
        <w:rPr>
          <w:rFonts w:ascii="Calibri" w:hAnsi="Calibri"/>
          <w:b/>
          <w:sz w:val="28"/>
          <w:szCs w:val="36"/>
        </w:rPr>
        <w:t>these documents need to be put onto the server by the end of week 1 each term. A copy of the program checklist should be filled in and put in supervising teachers’ pigeon ho</w:t>
      </w:r>
      <w:r>
        <w:rPr>
          <w:rFonts w:ascii="Calibri" w:hAnsi="Calibri"/>
          <w:b/>
          <w:sz w:val="28"/>
          <w:szCs w:val="36"/>
        </w:rPr>
        <w:t>le at this time. Teachers must</w:t>
      </w:r>
      <w:r w:rsidRPr="007F2E6D">
        <w:rPr>
          <w:rFonts w:ascii="Calibri" w:hAnsi="Calibri"/>
          <w:b/>
          <w:sz w:val="28"/>
          <w:szCs w:val="36"/>
        </w:rPr>
        <w:t xml:space="preserve"> bring their program folders to their program review meeting whi</w:t>
      </w:r>
      <w:r>
        <w:rPr>
          <w:rFonts w:ascii="Calibri" w:hAnsi="Calibri"/>
          <w:b/>
          <w:sz w:val="28"/>
          <w:szCs w:val="36"/>
        </w:rPr>
        <w:t xml:space="preserve">ch will be scheduled </w:t>
      </w:r>
      <w:r w:rsidRPr="007F2E6D">
        <w:rPr>
          <w:rFonts w:ascii="Calibri" w:hAnsi="Calibri"/>
          <w:b/>
          <w:sz w:val="28"/>
          <w:szCs w:val="36"/>
        </w:rPr>
        <w:t>each term.</w:t>
      </w:r>
    </w:p>
    <w:p w:rsidR="00C041CF" w:rsidRDefault="00C041CF" w:rsidP="00C041CF">
      <w:pPr>
        <w:ind w:firstLine="60"/>
        <w:jc w:val="both"/>
        <w:rPr>
          <w:b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sectPr w:rsidR="00A873E0" w:rsidRPr="00F5577E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D1CC3"/>
    <w:multiLevelType w:val="hybridMultilevel"/>
    <w:tmpl w:val="496867B2"/>
    <w:lvl w:ilvl="0" w:tplc="25CC6AA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50D2D10"/>
    <w:multiLevelType w:val="hybridMultilevel"/>
    <w:tmpl w:val="E054917E"/>
    <w:lvl w:ilvl="0" w:tplc="25CC6AA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7F16135"/>
    <w:multiLevelType w:val="hybridMultilevel"/>
    <w:tmpl w:val="E06C5490"/>
    <w:lvl w:ilvl="0" w:tplc="25CC6AA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9758F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4C0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2D58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0E5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41CF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0D42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2</cp:revision>
  <cp:lastPrinted>2010-09-14T06:23:00Z</cp:lastPrinted>
  <dcterms:created xsi:type="dcterms:W3CDTF">2010-11-04T23:35:00Z</dcterms:created>
  <dcterms:modified xsi:type="dcterms:W3CDTF">2010-11-04T23:35:00Z</dcterms:modified>
</cp:coreProperties>
</file>